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F2" w:rsidRPr="008B5AF2" w:rsidRDefault="008B5AF2" w:rsidP="00495C57">
      <w:pPr>
        <w:shd w:val="clear" w:color="auto" w:fill="FFFFFF"/>
        <w:spacing w:after="0" w:line="240" w:lineRule="auto"/>
        <w:jc w:val="both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</w:rPr>
      </w:pPr>
      <w:r w:rsidRPr="008B5AF2">
        <w:rPr>
          <w:rFonts w:ascii="PT Serif" w:eastAsia="Times New Roman" w:hAnsi="PT Serif" w:cs="Tahoma"/>
          <w:color w:val="373737"/>
          <w:kern w:val="36"/>
          <w:sz w:val="38"/>
          <w:szCs w:val="38"/>
        </w:rPr>
        <w:t>Приказ Министерства образования и науки Российской Федерации (</w:t>
      </w:r>
      <w:proofErr w:type="spellStart"/>
      <w:r w:rsidRPr="008B5AF2">
        <w:rPr>
          <w:rFonts w:ascii="PT Serif" w:eastAsia="Times New Roman" w:hAnsi="PT Serif" w:cs="Tahoma"/>
          <w:color w:val="373737"/>
          <w:kern w:val="36"/>
          <w:sz w:val="38"/>
          <w:szCs w:val="38"/>
        </w:rPr>
        <w:t>Минобрнауки</w:t>
      </w:r>
      <w:proofErr w:type="spellEnd"/>
      <w:r w:rsidRPr="008B5AF2">
        <w:rPr>
          <w:rFonts w:ascii="PT Serif" w:eastAsia="Times New Roman" w:hAnsi="PT Serif" w:cs="Tahoma"/>
          <w:color w:val="373737"/>
          <w:kern w:val="36"/>
          <w:sz w:val="38"/>
          <w:szCs w:val="38"/>
        </w:rPr>
        <w:t xml:space="preserve"> России) от 30 августа 2013 г. N 1015 г. Москва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PT Serif" w:eastAsia="Times New Roman" w:hAnsi="PT Serif" w:cs="Tahoma"/>
          <w:color w:val="373737"/>
          <w:sz w:val="23"/>
          <w:szCs w:val="23"/>
        </w:rPr>
      </w:pPr>
      <w:r w:rsidRPr="008B5AF2">
        <w:rPr>
          <w:rFonts w:ascii="PT Serif" w:eastAsia="Times New Roman" w:hAnsi="PT Serif" w:cs="Tahoma"/>
          <w:color w:val="373737"/>
          <w:sz w:val="23"/>
          <w:szCs w:val="23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 в Минюсте РФ 1 октября 2013 г.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30067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приказываю: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Первый заместитель Министра Н. Третьяк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color w:val="373737"/>
          <w:sz w:val="24"/>
          <w:szCs w:val="24"/>
        </w:rPr>
      </w:pPr>
      <w:r w:rsidRPr="008B5AF2">
        <w:rPr>
          <w:rFonts w:ascii="Arial" w:eastAsia="Times New Roman" w:hAnsi="Arial" w:cs="Arial"/>
          <w:b/>
          <w:bCs/>
          <w:color w:val="373737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8B5AF2">
        <w:rPr>
          <w:rFonts w:ascii="Arial" w:eastAsia="Times New Roman" w:hAnsi="Arial" w:cs="Arial"/>
          <w:b/>
          <w:bCs/>
          <w:color w:val="373737"/>
          <w:sz w:val="24"/>
          <w:szCs w:val="24"/>
        </w:rPr>
        <w:t>-о</w:t>
      </w:r>
      <w:proofErr w:type="gramEnd"/>
      <w:r w:rsidRPr="008B5AF2">
        <w:rPr>
          <w:rFonts w:ascii="Arial" w:eastAsia="Times New Roman" w:hAnsi="Arial" w:cs="Arial"/>
          <w:b/>
          <w:bCs/>
          <w:color w:val="373737"/>
          <w:sz w:val="24"/>
          <w:szCs w:val="24"/>
        </w:rPr>
        <w:t>бразовательным программам начального общего, основного общего и среднего общего образования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ограниченными возможностями здоровья.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2. Настоящий Порядок является обязательным для организаций, осуществляющих образовательную деятельность, в том числе для образовательных организаций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со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Организация и осуществление образовательной деятельности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Форма получения общего образования и форма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обучения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495C57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495C57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</w:rPr>
        <w:t>2</w:t>
      </w:r>
      <w:proofErr w:type="gramEnd"/>
      <w:r w:rsidRPr="00495C57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образовательных</w:t>
      </w:r>
      <w:proofErr w:type="gramEnd"/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организациях</w:t>
      </w:r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</w:rPr>
        <w:t>3</w:t>
      </w:r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4. Формы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обучения по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4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Допускается сочетание различных форм получения образования и форм обучения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5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5.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Обучение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6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lastRenderedPageBreak/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7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электронное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обучение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8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9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общеобразовательных программ.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10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11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12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15. Образовательная организация создает условия для реализации общеобразовательных программ.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 образовательной организации могут быть созданы условия для проживания учащихся в интернате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13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очно-заочной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18. Наполняемость классов, за исключением классов компенсирующего обучения, не должна превышать 25 человек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14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lastRenderedPageBreak/>
        <w:t>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15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824B6E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обучение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психолого-медико-педагогической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комиссии либо на обучение по индивидуальному учебному плану.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16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обучения по образцу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>, самостоятельно устанавливаемому образовательной организацией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17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21. Содержание общего образования и условия организации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обучения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18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а) для </w:t>
      </w: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обучающихся</w:t>
      </w:r>
      <w:proofErr w:type="gram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с ограниченными возможностями здоровья по зрению: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веб-контента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и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веб-сервисов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(WCAG);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присутствие ассистента, оказывающего учащемуся необходимую помощь;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аудиофайлов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б) для учащихся с ограниченными возможностями здоровья по слуху: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обеспечение надлежащими звуковыми средствами воспроизведения информации;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lastRenderedPageBreak/>
        <w:t>обеспечение получения информации с использованием русского жестового языка (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сурдоперевода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,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тифлосурдоперевода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>);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в) для учащихся, имеющих нарушения опорно-двигательного аппарата: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8B5AF2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19</w:t>
      </w:r>
      <w:r w:rsidRPr="008B5AF2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1 отделение - для учащихся с легким недоразвитием речи, обусловленным нарушением слуха;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 отделение - для учащихся с глубоким недоразвитием речи, обусловленным нарушением слуха.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амблиопией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 и косоглазием и нуждающихся в офтальмологическом сопровождении.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Основой обучения слепых учащихся является система Брайля.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ринолалия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>, афазия), а также учащихся, имеющих общее недоразвитие речи, сопровождающееся заиканием;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 отделение - для учащихся с тяжелой формой заикания при нормальном развитии речи.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аутистического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спектра, интеллектуальное развитие которых сопоставимо с задержкой психического развития;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совместное </w:t>
      </w:r>
      <w:proofErr w:type="gram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обучение по</w:t>
      </w:r>
      <w:proofErr w:type="gram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аутистического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Учащимся с расстройством 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аутистического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Для успешной адаптации учащихся с расстройствами 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аутистического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спектра на групповых занятиях кроме учителя присутствует воспитатель (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тьютор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аутистического</w:t>
      </w:r>
      <w:proofErr w:type="spell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спектра на одну ставку должности педагога-психолога.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30. </w:t>
      </w:r>
      <w:proofErr w:type="gram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lastRenderedPageBreak/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учителя-логопеда на каждые 6-12 учащихся с ограниченными возможностями здоровья;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color w:val="373737"/>
          <w:sz w:val="21"/>
          <w:szCs w:val="21"/>
        </w:rPr>
        <w:t>педагога-психолога на каждые 20 учащихся с ограниченными возможностями здоровья;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spellStart"/>
      <w:r w:rsidRPr="008B5AF2">
        <w:rPr>
          <w:rFonts w:ascii="Arial" w:eastAsia="Times New Roman" w:hAnsi="Arial" w:cs="Arial"/>
          <w:color w:val="373737"/>
          <w:sz w:val="21"/>
          <w:szCs w:val="21"/>
        </w:rPr>
        <w:t>тьютора</w:t>
      </w:r>
      <w:proofErr w:type="spellEnd"/>
      <w:r w:rsidRPr="008B5AF2">
        <w:rPr>
          <w:rFonts w:ascii="Arial" w:eastAsia="Times New Roman" w:hAnsi="Arial" w:cs="Arial"/>
          <w:color w:val="373737"/>
          <w:sz w:val="21"/>
          <w:szCs w:val="21"/>
        </w:rPr>
        <w:t>, ассистента (помощника) на каждые 1-6 учащихся с ограниченными возможностями здоровья.</w:t>
      </w:r>
    </w:p>
    <w:p w:rsidR="008B5AF2" w:rsidRPr="00887634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  <w:highlight w:val="yellow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в</w:t>
      </w:r>
      <w:proofErr w:type="gram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медицинских организациях</w:t>
      </w: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</w:rPr>
        <w:t>20</w:t>
      </w: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обучения по</w:t>
      </w:r>
      <w:proofErr w:type="gramEnd"/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  <w:vertAlign w:val="superscript"/>
        </w:rPr>
        <w:t>21</w:t>
      </w:r>
      <w:r w:rsidRPr="00887634">
        <w:rPr>
          <w:rFonts w:ascii="Arial" w:eastAsia="Times New Roman" w:hAnsi="Arial" w:cs="Arial"/>
          <w:color w:val="373737"/>
          <w:sz w:val="21"/>
          <w:szCs w:val="21"/>
          <w:highlight w:val="yellow"/>
        </w:rPr>
        <w:t>.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3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4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5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6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7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8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9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10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11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lastRenderedPageBreak/>
        <w:t>12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13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14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СанПиН</w:t>
      </w:r>
      <w:proofErr w:type="spellEnd"/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г. N 85 (зарегистрированы Министерством юстиции Российской Федерации 15 декабря 2011 г., регистрационный N 22637)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15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16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17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18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19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20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8B5AF2" w:rsidRPr="008B5AF2" w:rsidRDefault="008B5AF2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73737"/>
          <w:sz w:val="21"/>
          <w:szCs w:val="21"/>
        </w:rPr>
      </w:pP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21</w:t>
      </w:r>
      <w:r w:rsidRPr="008B5AF2">
        <w:rPr>
          <w:rFonts w:ascii="Arial" w:eastAsia="Times New Roman" w:hAnsi="Arial" w:cs="Arial"/>
          <w:i/>
          <w:iCs/>
          <w:color w:val="373737"/>
          <w:sz w:val="21"/>
          <w:szCs w:val="21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PT Serif" w:hAnsi="PT Serif" w:cs="Tahoma"/>
          <w:color w:val="373737"/>
          <w:kern w:val="36"/>
          <w:sz w:val="38"/>
          <w:szCs w:val="38"/>
        </w:rPr>
      </w:pPr>
      <w:r>
        <w:rPr>
          <w:rFonts w:ascii="PT Serif" w:hAnsi="PT Serif" w:cs="Tahoma"/>
          <w:color w:val="373737"/>
          <w:kern w:val="36"/>
          <w:sz w:val="38"/>
          <w:szCs w:val="38"/>
        </w:rPr>
        <w:t>Приказ Министерства образования и науки Российской Федерации (</w:t>
      </w:r>
      <w:proofErr w:type="spellStart"/>
      <w:r>
        <w:rPr>
          <w:rFonts w:ascii="PT Serif" w:hAnsi="PT Serif" w:cs="Tahoma"/>
          <w:color w:val="373737"/>
          <w:kern w:val="36"/>
          <w:sz w:val="38"/>
          <w:szCs w:val="38"/>
        </w:rPr>
        <w:t>Минобрнауки</w:t>
      </w:r>
      <w:proofErr w:type="spellEnd"/>
      <w:r>
        <w:rPr>
          <w:rFonts w:ascii="PT Serif" w:hAnsi="PT Serif" w:cs="Tahoma"/>
          <w:color w:val="373737"/>
          <w:kern w:val="36"/>
          <w:sz w:val="38"/>
          <w:szCs w:val="38"/>
        </w:rPr>
        <w:t xml:space="preserve"> России) от 13 декабря 2013 г. N 1342 г. Москва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PT Serif" w:hAnsi="PT Serif" w:cs="Tahoma"/>
          <w:color w:val="373737"/>
          <w:sz w:val="23"/>
          <w:szCs w:val="23"/>
        </w:rPr>
      </w:pPr>
      <w:r>
        <w:rPr>
          <w:rFonts w:ascii="PT Serif" w:hAnsi="PT Serif" w:cs="Tahoma"/>
          <w:color w:val="373737"/>
          <w:sz w:val="23"/>
          <w:szCs w:val="23"/>
        </w:rPr>
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 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Зарегистрирован в Минюсте РФ 7 февраля 2014 г.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Регистрационный N 31250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Приказываю: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Внести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следующие изменения:</w:t>
      </w:r>
      <w:proofErr w:type="gramEnd"/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а) в пункте 20: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абзац четвертый изложить в следующей редакции: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"Учащиеся,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16</w:t>
      </w:r>
      <w:r>
        <w:rPr>
          <w:rFonts w:ascii="Arial" w:hAnsi="Arial" w:cs="Arial"/>
          <w:color w:val="373737"/>
          <w:sz w:val="21"/>
          <w:szCs w:val="21"/>
        </w:rPr>
        <w:t>.";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дополнить сноской 16 следующего содержания: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"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16</w:t>
      </w:r>
      <w:r>
        <w:rPr>
          <w:rFonts w:ascii="Arial" w:hAnsi="Arial" w:cs="Arial"/>
          <w:color w:val="373737"/>
          <w:sz w:val="21"/>
          <w:szCs w:val="21"/>
        </w:rPr>
        <w:t xml:space="preserve"> Часть 8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2878; N 27, ст. 3462; N 30, ст. 4036; N 48, ст. 6165).";</w:t>
      </w:r>
    </w:p>
    <w:p w:rsidR="009F6B4B" w:rsidRDefault="009F6B4B" w:rsidP="00495C5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б) сноски 16 - 21 считать соответственно сносками 17 - 22.</w:t>
      </w:r>
    </w:p>
    <w:p w:rsidR="006C1B0E" w:rsidRDefault="006C1B0E" w:rsidP="00495C57">
      <w:pPr>
        <w:spacing w:after="0" w:line="240" w:lineRule="auto"/>
        <w:ind w:firstLine="567"/>
        <w:jc w:val="both"/>
      </w:pPr>
    </w:p>
    <w:sectPr w:rsidR="006C1B0E" w:rsidSect="00495C57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AF2"/>
    <w:rsid w:val="00495C57"/>
    <w:rsid w:val="006C1B0E"/>
    <w:rsid w:val="00824B6E"/>
    <w:rsid w:val="00887634"/>
    <w:rsid w:val="008B5AF2"/>
    <w:rsid w:val="009F6B4B"/>
    <w:rsid w:val="00B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AF2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8B5AF2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B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5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79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76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3459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178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05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93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2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5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44757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1492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2014-02-23T09:27:00Z</dcterms:created>
  <dcterms:modified xsi:type="dcterms:W3CDTF">2014-02-23T10:00:00Z</dcterms:modified>
</cp:coreProperties>
</file>